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2C610F"/>
    <w:p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2F3640" w:rsidRPr="006F6BBE" w:rsidRDefault="00A32A3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2</w:t>
      </w:r>
      <w:r w:rsidR="002F3640">
        <w:rPr>
          <w:rFonts w:ascii="Arial" w:hAnsi="Arial" w:cs="Arial"/>
          <w:b/>
          <w:smallCaps/>
          <w:spacing w:val="40"/>
          <w:sz w:val="28"/>
          <w:szCs w:val="28"/>
        </w:rPr>
        <w:t>D sonické anemometry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7262EE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Pr="004C6EFA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4C6EFA">
        <w:rPr>
          <w:rFonts w:cs="Arial"/>
          <w:sz w:val="21"/>
          <w:szCs w:val="21"/>
        </w:rPr>
        <w:t xml:space="preserve"> věci </w:t>
      </w:r>
      <w:r w:rsidR="004C6EFA" w:rsidRPr="004C6EFA">
        <w:rPr>
          <w:rFonts w:cs="Arial"/>
          <w:sz w:val="21"/>
          <w:szCs w:val="21"/>
        </w:rPr>
        <w:t>vztahují,</w:t>
      </w:r>
      <w:r w:rsidR="008D127B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provádět servis </w:t>
      </w:r>
      <w:r w:rsidR="00FC4953" w:rsidRPr="004C6EFA">
        <w:rPr>
          <w:rFonts w:cs="Arial"/>
          <w:sz w:val="21"/>
          <w:szCs w:val="21"/>
        </w:rPr>
        <w:t>věci</w:t>
      </w:r>
      <w:r w:rsidR="004C6EFA" w:rsidRPr="004C6EFA">
        <w:rPr>
          <w:rFonts w:cs="Arial"/>
          <w:sz w:val="21"/>
          <w:szCs w:val="21"/>
        </w:rPr>
        <w:t>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7262E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7262E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F1BC9" w:rsidRPr="00FF1BC9" w:rsidRDefault="00C9276D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262EE">
        <w:rPr>
          <w:rFonts w:cs="Arial"/>
          <w:sz w:val="21"/>
          <w:szCs w:val="21"/>
        </w:rPr>
        <w:t xml:space="preserve">Předmětem koupě </w:t>
      </w:r>
      <w:r w:rsidR="00FF1BC9">
        <w:rPr>
          <w:rFonts w:cs="Arial"/>
        </w:rPr>
        <w:t>jsou následující anemometry:</w:t>
      </w:r>
      <w:r w:rsidR="00B25B4E" w:rsidRPr="007262EE">
        <w:rPr>
          <w:rFonts w:cs="Arial"/>
        </w:rPr>
        <w:t xml:space="preserve"> </w:t>
      </w:r>
    </w:p>
    <w:p w:rsidR="00FF1BC9" w:rsidRPr="00FF1BC9" w:rsidRDefault="00A32A3F" w:rsidP="00FF1BC9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</w:rPr>
        <w:t>2D</w:t>
      </w:r>
      <w:r w:rsidR="00CD2A59" w:rsidRPr="00FF1BC9">
        <w:rPr>
          <w:rFonts w:cs="Arial"/>
        </w:rPr>
        <w:t xml:space="preserve"> sonick</w:t>
      </w:r>
      <w:r w:rsidR="00FF1BC9" w:rsidRPr="00FF1BC9">
        <w:rPr>
          <w:rFonts w:cs="Arial"/>
        </w:rPr>
        <w:t>ý</w:t>
      </w:r>
      <w:r w:rsidR="008942EA" w:rsidRPr="00FF1BC9">
        <w:rPr>
          <w:rFonts w:cs="Arial"/>
        </w:rPr>
        <w:t xml:space="preserve"> anemometr</w:t>
      </w:r>
      <w:r w:rsidR="00FF1BC9" w:rsidRPr="00FF1BC9">
        <w:rPr>
          <w:rFonts w:cs="Arial"/>
        </w:rPr>
        <w:t xml:space="preserve"> </w:t>
      </w:r>
      <w:r>
        <w:rPr>
          <w:rFonts w:cs="Arial"/>
        </w:rPr>
        <w:t>– analogový výstup</w:t>
      </w:r>
      <w:r w:rsidR="00FF1BC9">
        <w:rPr>
          <w:rFonts w:cs="Arial"/>
        </w:rPr>
        <w:t xml:space="preserve"> (</w:t>
      </w:r>
      <w:r>
        <w:rPr>
          <w:rFonts w:cs="Arial"/>
        </w:rPr>
        <w:t>12</w:t>
      </w:r>
      <w:r w:rsidR="0064745C">
        <w:rPr>
          <w:rFonts w:cs="Arial"/>
        </w:rPr>
        <w:t xml:space="preserve"> k</w:t>
      </w:r>
      <w:r>
        <w:rPr>
          <w:rFonts w:cs="Arial"/>
        </w:rPr>
        <w:t>s</w:t>
      </w:r>
      <w:r w:rsidR="00FF1BC9">
        <w:rPr>
          <w:rFonts w:cs="Arial"/>
        </w:rPr>
        <w:t>)</w:t>
      </w:r>
      <w:r w:rsidR="008942EA" w:rsidRPr="007262EE">
        <w:rPr>
          <w:rFonts w:cs="Arial"/>
        </w:rPr>
        <w:t xml:space="preserve"> </w:t>
      </w:r>
    </w:p>
    <w:p w:rsidR="00EF16B8" w:rsidRPr="00A32A3F" w:rsidRDefault="00A32A3F" w:rsidP="00FF1BC9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</w:rPr>
        <w:t>2D</w:t>
      </w:r>
      <w:r w:rsidRPr="00FF1BC9">
        <w:rPr>
          <w:rFonts w:cs="Arial"/>
        </w:rPr>
        <w:t xml:space="preserve"> sonický anemometr </w:t>
      </w:r>
      <w:r>
        <w:rPr>
          <w:rFonts w:cs="Arial"/>
        </w:rPr>
        <w:t>– SDI</w:t>
      </w:r>
      <w:r w:rsidR="00FF1BC9">
        <w:rPr>
          <w:rFonts w:cs="Arial"/>
        </w:rPr>
        <w:t xml:space="preserve"> (</w:t>
      </w:r>
      <w:r w:rsidR="0064745C">
        <w:rPr>
          <w:rFonts w:cs="Arial"/>
        </w:rPr>
        <w:t>2 k</w:t>
      </w:r>
      <w:r>
        <w:rPr>
          <w:rFonts w:cs="Arial"/>
        </w:rPr>
        <w:t>s</w:t>
      </w:r>
      <w:r w:rsidR="00FF1BC9">
        <w:rPr>
          <w:rFonts w:cs="Arial"/>
        </w:rPr>
        <w:t>)</w:t>
      </w:r>
    </w:p>
    <w:p w:rsidR="00A32A3F" w:rsidRPr="007262EE" w:rsidRDefault="00A32A3F" w:rsidP="00FF1BC9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</w:rPr>
        <w:t>2D</w:t>
      </w:r>
      <w:r w:rsidRPr="00FF1BC9">
        <w:rPr>
          <w:rFonts w:cs="Arial"/>
        </w:rPr>
        <w:t xml:space="preserve"> sonický anemometr </w:t>
      </w:r>
      <w:r>
        <w:rPr>
          <w:rFonts w:cs="Arial"/>
        </w:rPr>
        <w:t>– RS232 (2 ks)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odpovídat technické specifikaci přístroje, která je přílohou č. 1 této smlouvy.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4C6EFA" w:rsidRPr="006F6BBE" w:rsidRDefault="004C6EF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dodán kalibrovaný od výrobce</w:t>
      </w:r>
      <w:r w:rsidR="00C94A2B">
        <w:rPr>
          <w:rFonts w:cs="Arial"/>
          <w:sz w:val="21"/>
          <w:szCs w:val="21"/>
        </w:rPr>
        <w:t>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lastRenderedPageBreak/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90102A" w:rsidRPr="00DD568A" w:rsidRDefault="00DE5A99" w:rsidP="00DD568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CD2A59" w:rsidRPr="006F6BBE" w:rsidRDefault="00CD2A59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7262EE">
        <w:rPr>
          <w:rFonts w:cs="Arial"/>
          <w:sz w:val="21"/>
          <w:szCs w:val="21"/>
        </w:rPr>
        <w:t xml:space="preserve">nejpozději </w:t>
      </w:r>
      <w:r w:rsidRPr="007262EE">
        <w:rPr>
          <w:rFonts w:cs="Arial"/>
          <w:b/>
          <w:sz w:val="21"/>
          <w:szCs w:val="21"/>
        </w:rPr>
        <w:t xml:space="preserve">do </w:t>
      </w:r>
      <w:r w:rsidR="00A32A3F">
        <w:rPr>
          <w:rFonts w:cs="Arial"/>
          <w:b/>
          <w:sz w:val="21"/>
          <w:szCs w:val="21"/>
        </w:rPr>
        <w:t>18. 12. 2020</w:t>
      </w:r>
      <w:r w:rsidR="00192E96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6E7878">
        <w:rPr>
          <w:rFonts w:cs="Arial"/>
          <w:sz w:val="21"/>
          <w:szCs w:val="21"/>
        </w:rPr>
        <w:t xml:space="preserve"> a prodávající je oprávněn dodávat i po jednotlivých kusech.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CD2A59" w:rsidRPr="0079702E" w:rsidRDefault="00B5522F" w:rsidP="0079702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CD2A59" w:rsidRPr="006F6BBE" w:rsidRDefault="00CD2A59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979"/>
        <w:gridCol w:w="845"/>
        <w:gridCol w:w="1784"/>
        <w:gridCol w:w="2029"/>
      </w:tblGrid>
      <w:tr w:rsidR="00B15EAA" w:rsidRPr="006F6BBE" w:rsidTr="008942EA">
        <w:tc>
          <w:tcPr>
            <w:tcW w:w="3979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45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784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 w:rsidR="00B85190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  <w:tc>
          <w:tcPr>
            <w:tcW w:w="2029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 w:rsidR="00B85190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1576F7" w:rsidRPr="006F6BBE" w:rsidTr="008942EA">
        <w:tc>
          <w:tcPr>
            <w:tcW w:w="3979" w:type="dxa"/>
          </w:tcPr>
          <w:p w:rsidR="001576F7" w:rsidRPr="00A32A3F" w:rsidRDefault="00A32A3F" w:rsidP="002B2F13">
            <w:pPr>
              <w:pStyle w:val="Odstavecseseznamem"/>
              <w:numPr>
                <w:ilvl w:val="0"/>
                <w:numId w:val="23"/>
              </w:numPr>
              <w:spacing w:before="60" w:after="60"/>
              <w:ind w:left="311" w:hanging="311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2D sonický anemometr – analogový výstup</w:t>
            </w:r>
          </w:p>
        </w:tc>
        <w:tc>
          <w:tcPr>
            <w:tcW w:w="845" w:type="dxa"/>
          </w:tcPr>
          <w:p w:rsidR="001576F7" w:rsidRPr="00A32A3F" w:rsidRDefault="00A32A3F" w:rsidP="00B1731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12</w:t>
            </w:r>
            <w:r w:rsidR="00F0035A" w:rsidRPr="00A32A3F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84" w:type="dxa"/>
          </w:tcPr>
          <w:p w:rsidR="001576F7" w:rsidRPr="00A32A3F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29" w:type="dxa"/>
          </w:tcPr>
          <w:p w:rsidR="001576F7" w:rsidRPr="00A32A3F" w:rsidRDefault="001576F7" w:rsidP="003B7ECB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830E35" w:rsidRPr="006F6BBE" w:rsidTr="008942EA">
        <w:tc>
          <w:tcPr>
            <w:tcW w:w="3979" w:type="dxa"/>
          </w:tcPr>
          <w:p w:rsidR="00830E35" w:rsidRPr="00A32A3F" w:rsidRDefault="00A32A3F" w:rsidP="00A32A3F">
            <w:pPr>
              <w:pStyle w:val="Odstavecseseznamem"/>
              <w:numPr>
                <w:ilvl w:val="0"/>
                <w:numId w:val="23"/>
              </w:numPr>
              <w:spacing w:before="60" w:after="60"/>
              <w:ind w:left="311" w:hanging="311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2D sonický anemometr – SDI</w:t>
            </w:r>
          </w:p>
        </w:tc>
        <w:tc>
          <w:tcPr>
            <w:tcW w:w="845" w:type="dxa"/>
          </w:tcPr>
          <w:p w:rsidR="00830E35" w:rsidRPr="00A32A3F" w:rsidRDefault="00830E35" w:rsidP="00830E3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784" w:type="dxa"/>
          </w:tcPr>
          <w:p w:rsidR="00830E35" w:rsidRPr="00A32A3F" w:rsidRDefault="00830E35" w:rsidP="00830E3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29" w:type="dxa"/>
          </w:tcPr>
          <w:p w:rsidR="00830E35" w:rsidRPr="00A32A3F" w:rsidRDefault="00830E35" w:rsidP="00830E3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A32A3F" w:rsidRPr="006F6BBE" w:rsidTr="008942EA">
        <w:tc>
          <w:tcPr>
            <w:tcW w:w="3979" w:type="dxa"/>
          </w:tcPr>
          <w:p w:rsidR="00A32A3F" w:rsidRPr="00A32A3F" w:rsidRDefault="00A32A3F" w:rsidP="00A32A3F">
            <w:pPr>
              <w:pStyle w:val="Odstavecseseznamem"/>
              <w:numPr>
                <w:ilvl w:val="0"/>
                <w:numId w:val="23"/>
              </w:numPr>
              <w:spacing w:before="60" w:after="60"/>
              <w:ind w:left="311" w:hanging="311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2D sonický anemometr – RS232</w:t>
            </w:r>
          </w:p>
        </w:tc>
        <w:tc>
          <w:tcPr>
            <w:tcW w:w="845" w:type="dxa"/>
          </w:tcPr>
          <w:p w:rsidR="00A32A3F" w:rsidRPr="00A32A3F" w:rsidRDefault="00A32A3F" w:rsidP="00830E3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2A3F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784" w:type="dxa"/>
          </w:tcPr>
          <w:p w:rsidR="00A32A3F" w:rsidRPr="00A32A3F" w:rsidRDefault="00A32A3F" w:rsidP="00830E3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29" w:type="dxa"/>
          </w:tcPr>
          <w:p w:rsidR="00A32A3F" w:rsidRPr="00A32A3F" w:rsidRDefault="00A32A3F" w:rsidP="00830E3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32A3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A32A3F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8942EA" w:rsidRPr="006F6BBE" w:rsidTr="008942EA">
        <w:tc>
          <w:tcPr>
            <w:tcW w:w="6608" w:type="dxa"/>
            <w:gridSpan w:val="3"/>
            <w:tcBorders>
              <w:right w:val="nil"/>
            </w:tcBorders>
          </w:tcPr>
          <w:p w:rsidR="008942EA" w:rsidRPr="006F6BBE" w:rsidRDefault="008942EA" w:rsidP="008942E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29" w:type="dxa"/>
            <w:tcBorders>
              <w:left w:val="nil"/>
            </w:tcBorders>
          </w:tcPr>
          <w:p w:rsidR="008942EA" w:rsidRPr="006F6BBE" w:rsidRDefault="008942EA" w:rsidP="008942EA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lastRenderedPageBreak/>
        <w:t>Cena je sjednána na základě jednotkových cen,</w:t>
      </w:r>
      <w:r w:rsidR="004C6EFA" w:rsidRPr="004C6EFA">
        <w:rPr>
          <w:rFonts w:cs="Arial"/>
          <w:sz w:val="21"/>
          <w:szCs w:val="21"/>
        </w:rPr>
        <w:t xml:space="preserve">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</w:t>
      </w:r>
      <w:r w:rsidR="006E7878">
        <w:rPr>
          <w:rFonts w:cs="Arial"/>
          <w:sz w:val="21"/>
          <w:szCs w:val="21"/>
        </w:rPr>
        <w:t>několika faktur</w:t>
      </w:r>
      <w:r w:rsidR="00B204F2">
        <w:rPr>
          <w:rFonts w:cs="Arial"/>
          <w:sz w:val="21"/>
          <w:szCs w:val="21"/>
        </w:rPr>
        <w:t>, neurčí-li kupující jinak</w:t>
      </w:r>
      <w:r w:rsidR="006E7878">
        <w:rPr>
          <w:rFonts w:cs="Arial"/>
          <w:sz w:val="21"/>
          <w:szCs w:val="21"/>
        </w:rPr>
        <w:t xml:space="preserve">, a to vždy po dodání jednotlivých </w:t>
      </w:r>
      <w:r w:rsidR="002D32AF">
        <w:rPr>
          <w:rFonts w:cs="Arial"/>
          <w:sz w:val="21"/>
          <w:szCs w:val="21"/>
        </w:rPr>
        <w:t>typů</w:t>
      </w:r>
      <w:r w:rsidRPr="006F6BBE">
        <w:rPr>
          <w:rFonts w:cs="Arial"/>
          <w:sz w:val="21"/>
          <w:szCs w:val="21"/>
        </w:rPr>
        <w:t>. Přílohou</w:t>
      </w:r>
      <w:r w:rsidR="006E7878">
        <w:rPr>
          <w:rFonts w:cs="Arial"/>
          <w:sz w:val="21"/>
          <w:szCs w:val="21"/>
        </w:rPr>
        <w:t xml:space="preserve"> každé</w:t>
      </w:r>
      <w:r w:rsidRPr="006F6BBE">
        <w:rPr>
          <w:rFonts w:cs="Arial"/>
          <w:sz w:val="21"/>
          <w:szCs w:val="21"/>
        </w:rPr>
        <w:t xml:space="preserve"> faktury bude </w:t>
      </w:r>
      <w:r w:rsidR="00B113DB" w:rsidRPr="006F6BBE">
        <w:rPr>
          <w:rFonts w:cs="Arial"/>
          <w:sz w:val="21"/>
          <w:szCs w:val="21"/>
        </w:rPr>
        <w:t>kopie potvrzení převzetí</w:t>
      </w:r>
      <w:r w:rsidR="006E7878">
        <w:rPr>
          <w:rFonts w:cs="Arial"/>
          <w:sz w:val="21"/>
          <w:szCs w:val="21"/>
        </w:rPr>
        <w:t xml:space="preserve"> jednotlivých </w:t>
      </w:r>
      <w:r w:rsidR="002D32AF">
        <w:rPr>
          <w:rFonts w:cs="Arial"/>
          <w:sz w:val="21"/>
          <w:szCs w:val="21"/>
        </w:rPr>
        <w:t>typů</w:t>
      </w:r>
      <w:r w:rsidR="00B113DB" w:rsidRPr="006F6BBE">
        <w:rPr>
          <w:rFonts w:cs="Arial"/>
          <w:sz w:val="21"/>
          <w:szCs w:val="21"/>
        </w:rPr>
        <w:t xml:space="preserve">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:rsidR="00B85190" w:rsidRPr="00B85190" w:rsidRDefault="00B85190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B85190" w:rsidRPr="00B85190" w:rsidRDefault="00B85190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stane-li se prodávající nespolehlivým plátcem před zaplacením ceny, anebo</w:t>
      </w:r>
    </w:p>
    <w:p w:rsidR="00B85190" w:rsidRPr="00B85190" w:rsidRDefault="00B85190" w:rsidP="00B8519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516E8">
        <w:rPr>
          <w:rFonts w:cs="Arial"/>
          <w:b/>
          <w:sz w:val="21"/>
          <w:szCs w:val="21"/>
        </w:rPr>
        <w:t>2</w:t>
      </w:r>
      <w:r w:rsidRPr="004C6EFA">
        <w:rPr>
          <w:rFonts w:cs="Arial"/>
          <w:b/>
          <w:sz w:val="21"/>
          <w:szCs w:val="21"/>
        </w:rPr>
        <w:t xml:space="preserve">0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A32A3F">
        <w:rPr>
          <w:rFonts w:cs="Arial"/>
          <w:b/>
          <w:sz w:val="21"/>
          <w:szCs w:val="21"/>
        </w:rPr>
        <w:t>8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2F3640" w:rsidRPr="002F3640" w:rsidRDefault="002F3640" w:rsidP="002F364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F3640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B85190" w:rsidRPr="00B85190" w:rsidRDefault="00B85190" w:rsidP="002F36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85190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79702E" w:rsidRDefault="0079702E" w:rsidP="00DD568A">
      <w:pPr>
        <w:ind w:left="0" w:firstLine="0"/>
        <w:rPr>
          <w:rFonts w:cs="Arial"/>
          <w:sz w:val="21"/>
          <w:szCs w:val="21"/>
        </w:rPr>
      </w:pPr>
    </w:p>
    <w:p w:rsidR="002D32AF" w:rsidRDefault="002D32AF" w:rsidP="00DD568A">
      <w:pPr>
        <w:ind w:left="0" w:firstLine="0"/>
        <w:rPr>
          <w:rFonts w:cs="Arial"/>
          <w:sz w:val="21"/>
          <w:szCs w:val="21"/>
        </w:rPr>
      </w:pPr>
    </w:p>
    <w:p w:rsidR="002D32AF" w:rsidRPr="006F6BBE" w:rsidRDefault="002D32AF" w:rsidP="00DD568A">
      <w:pPr>
        <w:ind w:left="0" w:firstLine="0"/>
        <w:rPr>
          <w:rFonts w:cs="Arial"/>
          <w:sz w:val="21"/>
          <w:szCs w:val="21"/>
        </w:rPr>
      </w:pPr>
      <w:bookmarkStart w:id="0" w:name="_GoBack"/>
      <w:bookmarkEnd w:id="0"/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C6EFA">
        <w:rPr>
          <w:rFonts w:cs="Arial"/>
          <w:sz w:val="21"/>
          <w:szCs w:val="21"/>
        </w:rPr>
        <w:t xml:space="preserve">Mgr. Marian Pavelka, Ph.D., </w:t>
      </w:r>
      <w:hyperlink r:id="rId8" w:history="1">
        <w:r w:rsidR="004C6EFA" w:rsidRPr="00120658">
          <w:rPr>
            <w:rStyle w:val="Hypertextovodkaz"/>
            <w:rFonts w:cs="Arial"/>
            <w:sz w:val="21"/>
            <w:szCs w:val="21"/>
          </w:rPr>
          <w:t>pav</w:t>
        </w:r>
        <w:r w:rsidR="004C6EFA" w:rsidRPr="004C6EFA">
          <w:rPr>
            <w:rStyle w:val="Hypertextovodkaz"/>
            <w:rFonts w:cs="Arial"/>
            <w:sz w:val="21"/>
            <w:szCs w:val="21"/>
          </w:rPr>
          <w:t>elka.m@czec</w:t>
        </w:r>
        <w:r w:rsidR="004C6EFA" w:rsidRPr="00120658">
          <w:rPr>
            <w:rStyle w:val="Hypertextovodkaz"/>
            <w:rFonts w:cs="Arial"/>
            <w:sz w:val="21"/>
            <w:szCs w:val="21"/>
          </w:rPr>
          <w:t>hglobe.cz</w:t>
        </w:r>
      </w:hyperlink>
      <w:r w:rsidR="004C6EFA">
        <w:rPr>
          <w:rFonts w:cs="Arial"/>
          <w:sz w:val="21"/>
          <w:szCs w:val="21"/>
        </w:rPr>
        <w:t xml:space="preserve">, +420 511 192 255.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7262EE" w:rsidRPr="007262EE" w:rsidRDefault="007262EE" w:rsidP="002F364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F74936" w:rsidRPr="00F0035A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t>Nedílnou součástí této smlouvy jsou:</w:t>
      </w:r>
    </w:p>
    <w:p w:rsidR="00F74936" w:rsidRPr="00F0035A" w:rsidRDefault="00F0035A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lastRenderedPageBreak/>
        <w:t>Příloha č. 1: Technické parametry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262EE">
        <w:rPr>
          <w:rFonts w:cs="Arial"/>
          <w:sz w:val="21"/>
          <w:szCs w:val="21"/>
        </w:rPr>
        <w:t>zveřejnění v registru smluv.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85190" w:rsidRDefault="00B85190" w:rsidP="00192E96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85190" w:rsidRDefault="00B8519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6F6BBE" w:rsidRDefault="00DA7E4F" w:rsidP="00192E96">
      <w:pPr>
        <w:ind w:left="0" w:firstLine="0"/>
        <w:rPr>
          <w:rFonts w:cs="Arial"/>
          <w:sz w:val="21"/>
          <w:szCs w:val="21"/>
        </w:rPr>
      </w:pPr>
      <w:r w:rsidRPr="00F0035A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F0035A" w:rsidRPr="00F0035A">
        <w:rPr>
          <w:rFonts w:cs="Arial"/>
          <w:b/>
          <w:smallCaps/>
          <w:spacing w:val="32"/>
          <w:sz w:val="21"/>
          <w:szCs w:val="21"/>
        </w:rPr>
        <w:t xml:space="preserve"> č. 1: Technické</w:t>
      </w:r>
      <w:r w:rsidR="00F0035A">
        <w:rPr>
          <w:rFonts w:cs="Arial"/>
          <w:b/>
          <w:smallCaps/>
          <w:spacing w:val="32"/>
          <w:sz w:val="21"/>
          <w:szCs w:val="21"/>
        </w:rPr>
        <w:t xml:space="preserve"> parametry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7262EE" w:rsidRDefault="007262EE" w:rsidP="007262EE">
      <w:pPr>
        <w:suppressAutoHyphens/>
        <w:rPr>
          <w:rFonts w:cs="Arial"/>
          <w:b/>
          <w:smallCaps/>
          <w:spacing w:val="20"/>
          <w:sz w:val="21"/>
          <w:szCs w:val="21"/>
        </w:rPr>
      </w:pPr>
      <w:r w:rsidRPr="00C9276D">
        <w:rPr>
          <w:rFonts w:cs="Arial"/>
          <w:b/>
          <w:smallCaps/>
          <w:spacing w:val="20"/>
          <w:sz w:val="21"/>
          <w:szCs w:val="21"/>
        </w:rPr>
        <w:t>Předmět koupě bude splňovat následující technické parametry:</w:t>
      </w:r>
    </w:p>
    <w:p w:rsidR="00F0035A" w:rsidRDefault="00F0035A" w:rsidP="00F0035A">
      <w:pPr>
        <w:suppressAutoHyphens/>
        <w:rPr>
          <w:rFonts w:cs="Arial"/>
          <w:smallCaps/>
          <w:spacing w:val="20"/>
          <w:sz w:val="21"/>
          <w:szCs w:val="21"/>
        </w:rPr>
      </w:pPr>
    </w:p>
    <w:p w:rsidR="00A32A3F" w:rsidRPr="00EF16B8" w:rsidRDefault="00A32A3F" w:rsidP="00A32A3F">
      <w:pPr>
        <w:pStyle w:val="Zkladntext"/>
        <w:numPr>
          <w:ilvl w:val="0"/>
          <w:numId w:val="18"/>
        </w:numPr>
        <w:suppressAutoHyphens/>
        <w:spacing w:after="120"/>
        <w:jc w:val="left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zCs w:val="24"/>
          <w:lang w:eastAsia="x-none"/>
        </w:rPr>
        <w:t>2D s</w:t>
      </w:r>
      <w:r w:rsidRPr="00F0035A">
        <w:rPr>
          <w:rFonts w:ascii="Arial" w:hAnsi="Arial" w:cs="Arial"/>
          <w:b/>
          <w:szCs w:val="24"/>
          <w:lang w:eastAsia="x-none"/>
        </w:rPr>
        <w:t xml:space="preserve">onický anemometr </w:t>
      </w:r>
      <w:r>
        <w:rPr>
          <w:rFonts w:ascii="Arial" w:hAnsi="Arial" w:cs="Arial"/>
          <w:b/>
          <w:szCs w:val="24"/>
          <w:lang w:eastAsia="x-none"/>
        </w:rPr>
        <w:t>– analogový výstup (12 ks)</w:t>
      </w: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:rsidR="00A32A3F" w:rsidRPr="006D58DB" w:rsidRDefault="00A32A3F" w:rsidP="00A32A3F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Umožní </w:t>
      </w:r>
      <w:r>
        <w:rPr>
          <w:rFonts w:ascii="Arial" w:hAnsi="Arial" w:cs="Arial"/>
          <w:color w:val="auto"/>
          <w:sz w:val="21"/>
          <w:szCs w:val="21"/>
        </w:rPr>
        <w:t xml:space="preserve">přesné </w:t>
      </w:r>
      <w:r w:rsidRPr="006D58DB">
        <w:rPr>
          <w:rFonts w:ascii="Arial" w:hAnsi="Arial" w:cs="Arial"/>
          <w:color w:val="auto"/>
          <w:sz w:val="21"/>
          <w:szCs w:val="21"/>
        </w:rPr>
        <w:t>měření směru a rychlosti</w:t>
      </w:r>
      <w:r>
        <w:rPr>
          <w:rFonts w:ascii="Arial" w:hAnsi="Arial" w:cs="Arial"/>
          <w:color w:val="auto"/>
          <w:sz w:val="21"/>
          <w:szCs w:val="21"/>
        </w:rPr>
        <w:t xml:space="preserve"> větru.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Požadované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anemometr</w:t>
      </w:r>
      <w:r>
        <w:rPr>
          <w:rFonts w:ascii="Arial" w:hAnsi="Arial" w:cs="Arial"/>
          <w:color w:val="auto"/>
          <w:sz w:val="21"/>
          <w:szCs w:val="21"/>
        </w:rPr>
        <w:t>y budou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vybaveny napěťovými analogovými výstupy pro rychlost a pro směr větru. Anemometry musí odolávat venkovním klimatickým podmínkám včetně horských oblastí ČR. Jednotlivé vysílače a přijímače ultrazvukového signálu anemometru budou chráněny před mechanickým poškozením konstrukcí anemometru. </w:t>
      </w:r>
    </w:p>
    <w:p w:rsidR="00A32A3F" w:rsidRPr="006D58DB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Měření principem deformace zvukových vln, anemometr neobsahuje pohyblivé mechanické součásti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Měřicí rozsah rychlosti větru alespoň 0 – 40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rychlosti větru  ≤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%  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Rozlišení při měření rychlosti větru ≤ 0,01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Práh citlivosti </w:t>
      </w:r>
      <w:r w:rsidRPr="006D58DB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 xml:space="preserve"> 0,01 </w:t>
      </w:r>
      <w:r w:rsidRPr="006D58DB">
        <w:rPr>
          <w:rFonts w:ascii="Arial" w:hAnsi="Arial" w:cs="Arial"/>
          <w:color w:val="auto"/>
          <w:sz w:val="21"/>
          <w:szCs w:val="21"/>
        </w:rPr>
        <w:t>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Rozsah měření směru větru 0 – 359° (bez mrtvé oblasti)</w:t>
      </w:r>
    </w:p>
    <w:p w:rsidR="00A32A3F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Přesnost měření směru větru  ≤ ± 3° </w:t>
      </w:r>
    </w:p>
    <w:p w:rsidR="00A32A3F" w:rsidRPr="00544EE7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Rozlišení při měření směru proudění 1°, nebo lepší 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Odezva maximálně 0,25 s  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Výstup analogový napěťový</w:t>
      </w:r>
    </w:p>
    <w:p w:rsidR="00A32A3F" w:rsidRPr="006D58DB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Napájení </w:t>
      </w:r>
      <w:r>
        <w:rPr>
          <w:rFonts w:ascii="Arial" w:hAnsi="Arial" w:cs="Arial"/>
          <w:color w:val="auto"/>
          <w:sz w:val="21"/>
          <w:szCs w:val="21"/>
        </w:rPr>
        <w:t xml:space="preserve">v rozsahu alespoň </w:t>
      </w:r>
      <w:r w:rsidRPr="006D58DB">
        <w:rPr>
          <w:rFonts w:ascii="Arial" w:hAnsi="Arial" w:cs="Arial"/>
          <w:color w:val="auto"/>
          <w:sz w:val="21"/>
          <w:szCs w:val="21"/>
        </w:rPr>
        <w:t>12 – 24 V, příkon</w:t>
      </w:r>
      <w:r>
        <w:rPr>
          <w:rFonts w:ascii="Arial" w:hAnsi="Arial" w:cs="Arial"/>
          <w:color w:val="auto"/>
          <w:sz w:val="21"/>
          <w:szCs w:val="21"/>
        </w:rPr>
        <w:t xml:space="preserve"> (bez vyhřívání)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 w:rsidRPr="006D58DB">
        <w:rPr>
          <w:rFonts w:ascii="Arial" w:hAnsi="Arial" w:cs="Arial"/>
          <w:color w:val="auto"/>
          <w:sz w:val="21"/>
          <w:szCs w:val="21"/>
          <w:lang w:val="en-US"/>
        </w:rPr>
        <w:t>&lt;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W</w:t>
      </w:r>
    </w:p>
    <w:p w:rsidR="00A32A3F" w:rsidRPr="0077610A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Provozní podmínky:</w:t>
      </w:r>
      <w:r>
        <w:rPr>
          <w:rFonts w:ascii="Arial" w:hAnsi="Arial" w:cs="Arial"/>
          <w:color w:val="auto"/>
          <w:sz w:val="21"/>
          <w:szCs w:val="21"/>
        </w:rPr>
        <w:t xml:space="preserve"> rozsah teplot alespoň -30 až +5</w:t>
      </w:r>
      <w:r w:rsidRPr="006D58DB">
        <w:rPr>
          <w:rFonts w:ascii="Arial" w:hAnsi="Arial" w:cs="Arial"/>
          <w:color w:val="auto"/>
          <w:sz w:val="21"/>
          <w:szCs w:val="21"/>
        </w:rPr>
        <w:t>0°C, intenzita srážek až 300 mm hod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Stupeň krytí IP66 nebo vyšší</w:t>
      </w:r>
    </w:p>
    <w:p w:rsidR="00A32A3F" w:rsidRPr="00B764A3" w:rsidRDefault="00A32A3F" w:rsidP="00A32A3F">
      <w:pPr>
        <w:pStyle w:val="Zkladntext"/>
        <w:numPr>
          <w:ilvl w:val="0"/>
          <w:numId w:val="1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Hmotnost </w:t>
      </w:r>
      <w:r w:rsidRPr="00544EE7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>0,6 kg</w:t>
      </w:r>
      <w:r w:rsidRPr="00B764A3">
        <w:rPr>
          <w:rFonts w:cs="Arial"/>
          <w:sz w:val="21"/>
          <w:szCs w:val="21"/>
        </w:rPr>
        <w:br w:type="page"/>
      </w:r>
    </w:p>
    <w:p w:rsidR="00A32A3F" w:rsidRDefault="00A32A3F" w:rsidP="00A32A3F">
      <w:pPr>
        <w:pStyle w:val="Zkladntext"/>
        <w:suppressAutoHyphens/>
        <w:spacing w:after="120"/>
        <w:ind w:left="0" w:firstLine="0"/>
        <w:rPr>
          <w:rFonts w:ascii="Arial" w:hAnsi="Arial" w:cs="Arial"/>
          <w:color w:val="auto"/>
          <w:sz w:val="21"/>
          <w:szCs w:val="21"/>
        </w:rPr>
      </w:pPr>
    </w:p>
    <w:p w:rsidR="00A32A3F" w:rsidRPr="00EF16B8" w:rsidRDefault="00A32A3F" w:rsidP="00A32A3F">
      <w:pPr>
        <w:pStyle w:val="Zkladntext"/>
        <w:numPr>
          <w:ilvl w:val="0"/>
          <w:numId w:val="18"/>
        </w:numPr>
        <w:suppressAutoHyphens/>
        <w:spacing w:after="120"/>
        <w:jc w:val="left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zCs w:val="24"/>
          <w:lang w:eastAsia="x-none"/>
        </w:rPr>
        <w:t>2D s</w:t>
      </w:r>
      <w:r w:rsidRPr="00F0035A">
        <w:rPr>
          <w:rFonts w:ascii="Arial" w:hAnsi="Arial" w:cs="Arial"/>
          <w:b/>
          <w:szCs w:val="24"/>
          <w:lang w:eastAsia="x-none"/>
        </w:rPr>
        <w:t>onický anemometr</w:t>
      </w:r>
      <w:r>
        <w:rPr>
          <w:rFonts w:ascii="Arial" w:hAnsi="Arial" w:cs="Arial"/>
          <w:b/>
          <w:szCs w:val="24"/>
          <w:lang w:eastAsia="x-none"/>
        </w:rPr>
        <w:t xml:space="preserve"> – SDI (2 ks)</w:t>
      </w: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:rsidR="00A32A3F" w:rsidRPr="006D58DB" w:rsidRDefault="00A32A3F" w:rsidP="00A32A3F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Umožní </w:t>
      </w:r>
      <w:r>
        <w:rPr>
          <w:rFonts w:ascii="Arial" w:hAnsi="Arial" w:cs="Arial"/>
          <w:color w:val="auto"/>
          <w:sz w:val="21"/>
          <w:szCs w:val="21"/>
        </w:rPr>
        <w:t xml:space="preserve">přesné </w:t>
      </w:r>
      <w:r w:rsidRPr="006D58DB">
        <w:rPr>
          <w:rFonts w:ascii="Arial" w:hAnsi="Arial" w:cs="Arial"/>
          <w:color w:val="auto"/>
          <w:sz w:val="21"/>
          <w:szCs w:val="21"/>
        </w:rPr>
        <w:t>měření směru a rychlosti</w:t>
      </w:r>
      <w:r>
        <w:rPr>
          <w:rFonts w:ascii="Arial" w:hAnsi="Arial" w:cs="Arial"/>
          <w:color w:val="auto"/>
          <w:sz w:val="21"/>
          <w:szCs w:val="21"/>
        </w:rPr>
        <w:t xml:space="preserve"> větru.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Požadované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anemometr</w:t>
      </w:r>
      <w:r>
        <w:rPr>
          <w:rFonts w:ascii="Arial" w:hAnsi="Arial" w:cs="Arial"/>
          <w:color w:val="auto"/>
          <w:sz w:val="21"/>
          <w:szCs w:val="21"/>
        </w:rPr>
        <w:t>y budou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vybaveny napěťovými analogovými výstupy pro rychlost a pro směr větru. Anemometry musí odolávat venkovním klimatickým podmínkám včetně horských oblastí ČR. Jednotlivé vysílače a přijímače ultrazvukového signálu anemometru budou chráněny před mechanickým poškozením konstrukcí anemometru. </w:t>
      </w:r>
    </w:p>
    <w:p w:rsidR="00A32A3F" w:rsidRPr="006D58DB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Měření principem deformace zvukových vln, anemometr neobsahuje pohyblivé mechanické součásti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Měřicí rozsah rychlosti větru alespoň 0 – 40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rychlosti větru  ≤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%  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Rozlišení při měření rychlosti větru ≤ 0,01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Práh citlivosti </w:t>
      </w:r>
      <w:r w:rsidRPr="006D58DB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 xml:space="preserve"> 0,01 </w:t>
      </w:r>
      <w:r w:rsidRPr="006D58DB">
        <w:rPr>
          <w:rFonts w:ascii="Arial" w:hAnsi="Arial" w:cs="Arial"/>
          <w:color w:val="auto"/>
          <w:sz w:val="21"/>
          <w:szCs w:val="21"/>
        </w:rPr>
        <w:t>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Rozsah měření směru větru 0 – 359° (bez mrtvé oblasti)</w:t>
      </w:r>
    </w:p>
    <w:p w:rsidR="00A32A3F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Přesnost měření směru větru  ≤ ± 3° </w:t>
      </w:r>
    </w:p>
    <w:p w:rsidR="00A32A3F" w:rsidRPr="00544EE7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Rozlišení při měření směru proudění 1°, nebo lepší 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Odezva maximálně 0,25 s  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Výstup SDI-12</w:t>
      </w:r>
    </w:p>
    <w:p w:rsidR="00A32A3F" w:rsidRPr="006D58DB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Napájení </w:t>
      </w:r>
      <w:r>
        <w:rPr>
          <w:rFonts w:ascii="Arial" w:hAnsi="Arial" w:cs="Arial"/>
          <w:color w:val="auto"/>
          <w:sz w:val="21"/>
          <w:szCs w:val="21"/>
        </w:rPr>
        <w:t xml:space="preserve">v rozsahu alespoň </w:t>
      </w:r>
      <w:r w:rsidRPr="006D58DB">
        <w:rPr>
          <w:rFonts w:ascii="Arial" w:hAnsi="Arial" w:cs="Arial"/>
          <w:color w:val="auto"/>
          <w:sz w:val="21"/>
          <w:szCs w:val="21"/>
        </w:rPr>
        <w:t>12 – 24 V, příkon</w:t>
      </w:r>
      <w:r>
        <w:rPr>
          <w:rFonts w:ascii="Arial" w:hAnsi="Arial" w:cs="Arial"/>
          <w:color w:val="auto"/>
          <w:sz w:val="21"/>
          <w:szCs w:val="21"/>
        </w:rPr>
        <w:t xml:space="preserve"> (bez vyhřívání)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 w:rsidRPr="006D58DB">
        <w:rPr>
          <w:rFonts w:ascii="Arial" w:hAnsi="Arial" w:cs="Arial"/>
          <w:color w:val="auto"/>
          <w:sz w:val="21"/>
          <w:szCs w:val="21"/>
          <w:lang w:val="en-US"/>
        </w:rPr>
        <w:t>&lt;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W</w:t>
      </w:r>
    </w:p>
    <w:p w:rsidR="00A32A3F" w:rsidRPr="0077610A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Provozní podmínky:</w:t>
      </w:r>
      <w:r>
        <w:rPr>
          <w:rFonts w:ascii="Arial" w:hAnsi="Arial" w:cs="Arial"/>
          <w:color w:val="auto"/>
          <w:sz w:val="21"/>
          <w:szCs w:val="21"/>
        </w:rPr>
        <w:t xml:space="preserve"> rozsah teplot alespoň -30 až +5</w:t>
      </w:r>
      <w:r w:rsidRPr="006D58DB">
        <w:rPr>
          <w:rFonts w:ascii="Arial" w:hAnsi="Arial" w:cs="Arial"/>
          <w:color w:val="auto"/>
          <w:sz w:val="21"/>
          <w:szCs w:val="21"/>
        </w:rPr>
        <w:t>0°C, intenzita srážek až 300 mm hod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Stupeň krytí IP66 nebo vyšší</w:t>
      </w:r>
    </w:p>
    <w:p w:rsidR="00A32A3F" w:rsidRDefault="00A32A3F" w:rsidP="00A32A3F">
      <w:pPr>
        <w:pStyle w:val="Zkladntext"/>
        <w:numPr>
          <w:ilvl w:val="0"/>
          <w:numId w:val="25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Hmotnost </w:t>
      </w:r>
      <w:r w:rsidRPr="00544EE7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>0,6 kg</w:t>
      </w:r>
    </w:p>
    <w:p w:rsidR="00A32A3F" w:rsidRDefault="00A32A3F" w:rsidP="00A32A3F">
      <w:pPr>
        <w:rPr>
          <w:rFonts w:eastAsia="Times New Roman" w:cs="Arial"/>
          <w:sz w:val="21"/>
          <w:szCs w:val="21"/>
          <w:lang w:eastAsia="cs-CZ"/>
        </w:rPr>
      </w:pPr>
      <w:r>
        <w:rPr>
          <w:rFonts w:cs="Arial"/>
          <w:sz w:val="21"/>
          <w:szCs w:val="21"/>
        </w:rPr>
        <w:br w:type="page"/>
      </w:r>
    </w:p>
    <w:p w:rsidR="00A32A3F" w:rsidRDefault="00A32A3F" w:rsidP="00A32A3F">
      <w:pPr>
        <w:pStyle w:val="Zkladntext"/>
        <w:suppressAutoHyphens/>
        <w:spacing w:after="120"/>
        <w:ind w:left="0" w:firstLine="0"/>
        <w:rPr>
          <w:rFonts w:ascii="Arial" w:hAnsi="Arial" w:cs="Arial"/>
          <w:color w:val="auto"/>
          <w:sz w:val="21"/>
          <w:szCs w:val="21"/>
        </w:rPr>
      </w:pPr>
    </w:p>
    <w:p w:rsidR="00A32A3F" w:rsidRPr="00EF16B8" w:rsidRDefault="00A32A3F" w:rsidP="00A32A3F">
      <w:pPr>
        <w:pStyle w:val="Zkladntext"/>
        <w:numPr>
          <w:ilvl w:val="0"/>
          <w:numId w:val="18"/>
        </w:numPr>
        <w:suppressAutoHyphens/>
        <w:spacing w:after="120"/>
        <w:jc w:val="left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zCs w:val="24"/>
          <w:lang w:eastAsia="x-none"/>
        </w:rPr>
        <w:t>2D s</w:t>
      </w:r>
      <w:r w:rsidRPr="00F0035A">
        <w:rPr>
          <w:rFonts w:ascii="Arial" w:hAnsi="Arial" w:cs="Arial"/>
          <w:b/>
          <w:szCs w:val="24"/>
          <w:lang w:eastAsia="x-none"/>
        </w:rPr>
        <w:t>onický anemometr</w:t>
      </w:r>
      <w:r>
        <w:rPr>
          <w:rFonts w:ascii="Arial" w:hAnsi="Arial" w:cs="Arial"/>
          <w:b/>
          <w:szCs w:val="24"/>
          <w:lang w:eastAsia="x-none"/>
        </w:rPr>
        <w:t xml:space="preserve"> – RS232 (2 ks)</w:t>
      </w: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:rsidR="00A32A3F" w:rsidRPr="006D58DB" w:rsidRDefault="00A32A3F" w:rsidP="00A32A3F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Umožní </w:t>
      </w:r>
      <w:r>
        <w:rPr>
          <w:rFonts w:ascii="Arial" w:hAnsi="Arial" w:cs="Arial"/>
          <w:color w:val="auto"/>
          <w:sz w:val="21"/>
          <w:szCs w:val="21"/>
        </w:rPr>
        <w:t xml:space="preserve">přesné </w:t>
      </w:r>
      <w:r w:rsidRPr="006D58DB">
        <w:rPr>
          <w:rFonts w:ascii="Arial" w:hAnsi="Arial" w:cs="Arial"/>
          <w:color w:val="auto"/>
          <w:sz w:val="21"/>
          <w:szCs w:val="21"/>
        </w:rPr>
        <w:t>měření směru a rychlosti</w:t>
      </w:r>
      <w:r>
        <w:rPr>
          <w:rFonts w:ascii="Arial" w:hAnsi="Arial" w:cs="Arial"/>
          <w:color w:val="auto"/>
          <w:sz w:val="21"/>
          <w:szCs w:val="21"/>
        </w:rPr>
        <w:t xml:space="preserve"> větru.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Požadované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anemometr</w:t>
      </w:r>
      <w:r>
        <w:rPr>
          <w:rFonts w:ascii="Arial" w:hAnsi="Arial" w:cs="Arial"/>
          <w:color w:val="auto"/>
          <w:sz w:val="21"/>
          <w:szCs w:val="21"/>
        </w:rPr>
        <w:t>y budou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vybaveny napěťovými analogovými výstupy pro rychlost a pro směr větru. Anemometry musí odolávat venkovním klimatickým podmínkám včetně horských oblastí ČR. Jednotlivé vysílače a přijímače ultrazvukového signálu anemometru budou chráněny před mechanickým poškozením konstrukcí anemometru. </w:t>
      </w:r>
    </w:p>
    <w:p w:rsidR="00A32A3F" w:rsidRPr="006D58DB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A32A3F" w:rsidRDefault="00A32A3F" w:rsidP="00A32A3F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:rsidR="00A32A3F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</w:p>
    <w:p w:rsidR="00A32A3F" w:rsidRPr="00F0035A" w:rsidRDefault="00A32A3F" w:rsidP="00A32A3F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Měření principem deformace zvukových vln, anemometr neobsahuje pohyblivé mechanické součásti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Měřicí rozsah rychlosti větru alespoň 0 – 40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Přesnost měření rychlosti větru  ≤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%  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Rozlišení při měření rychlosti větru ≤ 0,01 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Práh citlivosti </w:t>
      </w:r>
      <w:r w:rsidRPr="006D58DB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 xml:space="preserve"> 0,01 </w:t>
      </w:r>
      <w:r w:rsidRPr="006D58DB">
        <w:rPr>
          <w:rFonts w:ascii="Arial" w:hAnsi="Arial" w:cs="Arial"/>
          <w:color w:val="auto"/>
          <w:sz w:val="21"/>
          <w:szCs w:val="21"/>
        </w:rPr>
        <w:t>m s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Rozsah měření směru větru 0 – 359° (bez mrtvé oblasti)</w:t>
      </w:r>
    </w:p>
    <w:p w:rsidR="00A32A3F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Přesnost měření směru větru  ≤ ± 3° </w:t>
      </w:r>
    </w:p>
    <w:p w:rsidR="00A32A3F" w:rsidRPr="00544EE7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544EE7">
        <w:rPr>
          <w:rFonts w:ascii="Arial" w:hAnsi="Arial" w:cs="Arial"/>
          <w:color w:val="auto"/>
          <w:sz w:val="21"/>
          <w:szCs w:val="21"/>
        </w:rPr>
        <w:t xml:space="preserve">Rozlišení při měření směru proudění 1°, nebo lepší 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Odezva maximálně 0,25 s  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Výstup RS232</w:t>
      </w:r>
    </w:p>
    <w:p w:rsidR="00A32A3F" w:rsidRPr="006D58DB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Napájení </w:t>
      </w:r>
      <w:r>
        <w:rPr>
          <w:rFonts w:ascii="Arial" w:hAnsi="Arial" w:cs="Arial"/>
          <w:color w:val="auto"/>
          <w:sz w:val="21"/>
          <w:szCs w:val="21"/>
        </w:rPr>
        <w:t xml:space="preserve">v rozsahu alespoň </w:t>
      </w:r>
      <w:r w:rsidRPr="006D58DB">
        <w:rPr>
          <w:rFonts w:ascii="Arial" w:hAnsi="Arial" w:cs="Arial"/>
          <w:color w:val="auto"/>
          <w:sz w:val="21"/>
          <w:szCs w:val="21"/>
        </w:rPr>
        <w:t>12 – 24 V, příkon</w:t>
      </w:r>
      <w:r>
        <w:rPr>
          <w:rFonts w:ascii="Arial" w:hAnsi="Arial" w:cs="Arial"/>
          <w:color w:val="auto"/>
          <w:sz w:val="21"/>
          <w:szCs w:val="21"/>
        </w:rPr>
        <w:t xml:space="preserve"> (bez vyhřívání)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 w:rsidRPr="006D58DB">
        <w:rPr>
          <w:rFonts w:ascii="Arial" w:hAnsi="Arial" w:cs="Arial"/>
          <w:color w:val="auto"/>
          <w:sz w:val="21"/>
          <w:szCs w:val="21"/>
          <w:lang w:val="en-US"/>
        </w:rPr>
        <w:t>&lt;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W</w:t>
      </w:r>
    </w:p>
    <w:p w:rsidR="00A32A3F" w:rsidRPr="0077610A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Provozní podmínky:</w:t>
      </w:r>
      <w:r>
        <w:rPr>
          <w:rFonts w:ascii="Arial" w:hAnsi="Arial" w:cs="Arial"/>
          <w:color w:val="auto"/>
          <w:sz w:val="21"/>
          <w:szCs w:val="21"/>
        </w:rPr>
        <w:t xml:space="preserve"> rozsah teplot alespoň -30 až +5</w:t>
      </w:r>
      <w:r w:rsidRPr="006D58DB">
        <w:rPr>
          <w:rFonts w:ascii="Arial" w:hAnsi="Arial" w:cs="Arial"/>
          <w:color w:val="auto"/>
          <w:sz w:val="21"/>
          <w:szCs w:val="21"/>
        </w:rPr>
        <w:t>0°C, intenzita srážek až 300 mm hod</w:t>
      </w:r>
      <w:r w:rsidRPr="006D58DB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</w:p>
    <w:p w:rsidR="00A32A3F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Stupeň krytí IP66 nebo vyšší</w:t>
      </w:r>
    </w:p>
    <w:p w:rsidR="00A32A3F" w:rsidRDefault="00A32A3F" w:rsidP="00A32A3F">
      <w:pPr>
        <w:pStyle w:val="Zkladntext"/>
        <w:numPr>
          <w:ilvl w:val="0"/>
          <w:numId w:val="24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Hmotnost </w:t>
      </w:r>
      <w:r w:rsidRPr="00544EE7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>0,6 kg</w:t>
      </w:r>
    </w:p>
    <w:p w:rsidR="00830E35" w:rsidRDefault="00830E35" w:rsidP="00830E35">
      <w:pPr>
        <w:suppressAutoHyphens/>
        <w:rPr>
          <w:rFonts w:cs="Arial"/>
          <w:b/>
          <w:smallCaps/>
          <w:spacing w:val="20"/>
          <w:sz w:val="21"/>
          <w:szCs w:val="21"/>
        </w:rPr>
      </w:pPr>
    </w:p>
    <w:p w:rsidR="00830E35" w:rsidRDefault="00830E35" w:rsidP="00830E35"/>
    <w:p w:rsidR="00830E35" w:rsidRPr="00192E96" w:rsidRDefault="00830E35" w:rsidP="00830E35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</w:p>
    <w:sectPr w:rsidR="00830E35" w:rsidRPr="00192E96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49" w:rsidRDefault="00966F49" w:rsidP="00E837B7">
      <w:pPr>
        <w:spacing w:before="0" w:after="0"/>
      </w:pPr>
      <w:r>
        <w:separator/>
      </w:r>
    </w:p>
  </w:endnote>
  <w:endnote w:type="continuationSeparator" w:id="0">
    <w:p w:rsidR="00966F49" w:rsidRDefault="00966F4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66C28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66C28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66C2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66C28">
      <w:rPr>
        <w:rFonts w:cs="Arial"/>
        <w:bCs/>
        <w:noProof/>
      </w:rPr>
      <w:t>9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49" w:rsidRDefault="00966F49" w:rsidP="00E837B7">
      <w:pPr>
        <w:spacing w:before="0" w:after="0"/>
      </w:pPr>
      <w:r>
        <w:separator/>
      </w:r>
    </w:p>
  </w:footnote>
  <w:footnote w:type="continuationSeparator" w:id="0">
    <w:p w:rsidR="00966F49" w:rsidRDefault="00966F4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B8" w:rsidRPr="00EF16B8" w:rsidRDefault="00A32A3F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2</w:t>
    </w:r>
    <w:r w:rsidR="00B25B4E">
      <w:rPr>
        <w:b/>
        <w:sz w:val="18"/>
        <w:szCs w:val="18"/>
      </w:rPr>
      <w:t>D</w:t>
    </w:r>
    <w:r w:rsidR="007262EE">
      <w:rPr>
        <w:b/>
        <w:sz w:val="18"/>
        <w:szCs w:val="18"/>
      </w:rPr>
      <w:t xml:space="preserve"> sonické</w:t>
    </w:r>
    <w:r w:rsidR="00B25B4E">
      <w:rPr>
        <w:b/>
        <w:sz w:val="18"/>
        <w:szCs w:val="18"/>
      </w:rPr>
      <w:t xml:space="preserve"> anemometr</w:t>
    </w:r>
    <w:r w:rsidR="007262EE">
      <w:rPr>
        <w:b/>
        <w:sz w:val="18"/>
        <w:szCs w:val="18"/>
      </w:rPr>
      <w:t>y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E41B103" wp14:editId="3930B74D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49146C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4A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06569"/>
    <w:multiLevelType w:val="hybridMultilevel"/>
    <w:tmpl w:val="FB36E672"/>
    <w:lvl w:ilvl="0" w:tplc="0405000F">
      <w:start w:val="1"/>
      <w:numFmt w:val="decimal"/>
      <w:lvlText w:val="%1."/>
      <w:lvlJc w:val="left"/>
      <w:pPr>
        <w:ind w:left="1031" w:hanging="360"/>
      </w:pPr>
    </w:lvl>
    <w:lvl w:ilvl="1" w:tplc="04050019" w:tentative="1">
      <w:start w:val="1"/>
      <w:numFmt w:val="lowerLetter"/>
      <w:lvlText w:val="%2."/>
      <w:lvlJc w:val="left"/>
      <w:pPr>
        <w:ind w:left="1751" w:hanging="360"/>
      </w:pPr>
    </w:lvl>
    <w:lvl w:ilvl="2" w:tplc="0405001B" w:tentative="1">
      <w:start w:val="1"/>
      <w:numFmt w:val="lowerRoman"/>
      <w:lvlText w:val="%3."/>
      <w:lvlJc w:val="right"/>
      <w:pPr>
        <w:ind w:left="2471" w:hanging="180"/>
      </w:pPr>
    </w:lvl>
    <w:lvl w:ilvl="3" w:tplc="0405000F" w:tentative="1">
      <w:start w:val="1"/>
      <w:numFmt w:val="decimal"/>
      <w:lvlText w:val="%4."/>
      <w:lvlJc w:val="left"/>
      <w:pPr>
        <w:ind w:left="3191" w:hanging="360"/>
      </w:pPr>
    </w:lvl>
    <w:lvl w:ilvl="4" w:tplc="04050019" w:tentative="1">
      <w:start w:val="1"/>
      <w:numFmt w:val="lowerLetter"/>
      <w:lvlText w:val="%5."/>
      <w:lvlJc w:val="left"/>
      <w:pPr>
        <w:ind w:left="3911" w:hanging="360"/>
      </w:pPr>
    </w:lvl>
    <w:lvl w:ilvl="5" w:tplc="0405001B" w:tentative="1">
      <w:start w:val="1"/>
      <w:numFmt w:val="lowerRoman"/>
      <w:lvlText w:val="%6."/>
      <w:lvlJc w:val="right"/>
      <w:pPr>
        <w:ind w:left="4631" w:hanging="180"/>
      </w:pPr>
    </w:lvl>
    <w:lvl w:ilvl="6" w:tplc="0405000F" w:tentative="1">
      <w:start w:val="1"/>
      <w:numFmt w:val="decimal"/>
      <w:lvlText w:val="%7."/>
      <w:lvlJc w:val="left"/>
      <w:pPr>
        <w:ind w:left="5351" w:hanging="360"/>
      </w:pPr>
    </w:lvl>
    <w:lvl w:ilvl="7" w:tplc="04050019" w:tentative="1">
      <w:start w:val="1"/>
      <w:numFmt w:val="lowerLetter"/>
      <w:lvlText w:val="%8."/>
      <w:lvlJc w:val="left"/>
      <w:pPr>
        <w:ind w:left="6071" w:hanging="360"/>
      </w:pPr>
    </w:lvl>
    <w:lvl w:ilvl="8" w:tplc="040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5134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78E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C981687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7"/>
  </w:num>
  <w:num w:numId="19">
    <w:abstractNumId w:val="8"/>
  </w:num>
  <w:num w:numId="20">
    <w:abstractNumId w:val="9"/>
  </w:num>
  <w:num w:numId="21">
    <w:abstractNumId w:val="0"/>
  </w:num>
  <w:num w:numId="22">
    <w:abstractNumId w:val="3"/>
  </w:num>
  <w:num w:numId="23">
    <w:abstractNumId w:val="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1949"/>
    <w:rsid w:val="00085079"/>
    <w:rsid w:val="00090B69"/>
    <w:rsid w:val="000B0562"/>
    <w:rsid w:val="000B146D"/>
    <w:rsid w:val="000B2F72"/>
    <w:rsid w:val="000C5EA8"/>
    <w:rsid w:val="000F15D6"/>
    <w:rsid w:val="00104399"/>
    <w:rsid w:val="0010510A"/>
    <w:rsid w:val="00106E4A"/>
    <w:rsid w:val="00110D2C"/>
    <w:rsid w:val="001122FD"/>
    <w:rsid w:val="001244D4"/>
    <w:rsid w:val="001576F7"/>
    <w:rsid w:val="0017523F"/>
    <w:rsid w:val="00192E96"/>
    <w:rsid w:val="0019664E"/>
    <w:rsid w:val="001A5A12"/>
    <w:rsid w:val="001B445F"/>
    <w:rsid w:val="001C2981"/>
    <w:rsid w:val="001F5F10"/>
    <w:rsid w:val="00206064"/>
    <w:rsid w:val="00213072"/>
    <w:rsid w:val="002218A9"/>
    <w:rsid w:val="002266F4"/>
    <w:rsid w:val="0024072D"/>
    <w:rsid w:val="00240EF8"/>
    <w:rsid w:val="0025095B"/>
    <w:rsid w:val="0025320E"/>
    <w:rsid w:val="00264216"/>
    <w:rsid w:val="002769BD"/>
    <w:rsid w:val="00277399"/>
    <w:rsid w:val="002828CB"/>
    <w:rsid w:val="00290C01"/>
    <w:rsid w:val="00293780"/>
    <w:rsid w:val="002A10CE"/>
    <w:rsid w:val="002A4BE0"/>
    <w:rsid w:val="002B2F13"/>
    <w:rsid w:val="002C610F"/>
    <w:rsid w:val="002D1D3E"/>
    <w:rsid w:val="002D32AF"/>
    <w:rsid w:val="002F3640"/>
    <w:rsid w:val="002F5266"/>
    <w:rsid w:val="002F5DC3"/>
    <w:rsid w:val="002F771F"/>
    <w:rsid w:val="0032134F"/>
    <w:rsid w:val="00322F8C"/>
    <w:rsid w:val="003271F6"/>
    <w:rsid w:val="00332790"/>
    <w:rsid w:val="00357108"/>
    <w:rsid w:val="0036166F"/>
    <w:rsid w:val="003756A3"/>
    <w:rsid w:val="00382D22"/>
    <w:rsid w:val="003A5567"/>
    <w:rsid w:val="003B0B43"/>
    <w:rsid w:val="003C74B6"/>
    <w:rsid w:val="003C763E"/>
    <w:rsid w:val="003E6BE8"/>
    <w:rsid w:val="00414754"/>
    <w:rsid w:val="00414D2E"/>
    <w:rsid w:val="0041559E"/>
    <w:rsid w:val="004218BE"/>
    <w:rsid w:val="004640C0"/>
    <w:rsid w:val="004714AB"/>
    <w:rsid w:val="00474362"/>
    <w:rsid w:val="0049146C"/>
    <w:rsid w:val="00496F37"/>
    <w:rsid w:val="004C6EFA"/>
    <w:rsid w:val="004F78B5"/>
    <w:rsid w:val="00501564"/>
    <w:rsid w:val="00506F22"/>
    <w:rsid w:val="00517DEC"/>
    <w:rsid w:val="005211CC"/>
    <w:rsid w:val="00530B62"/>
    <w:rsid w:val="00544E72"/>
    <w:rsid w:val="00544EE7"/>
    <w:rsid w:val="00552ECB"/>
    <w:rsid w:val="0055374D"/>
    <w:rsid w:val="005579B0"/>
    <w:rsid w:val="0057367C"/>
    <w:rsid w:val="00575F0C"/>
    <w:rsid w:val="00576AC1"/>
    <w:rsid w:val="00585453"/>
    <w:rsid w:val="005A2C26"/>
    <w:rsid w:val="005A5AFA"/>
    <w:rsid w:val="005B1F68"/>
    <w:rsid w:val="005B2405"/>
    <w:rsid w:val="005B5DCF"/>
    <w:rsid w:val="005C3B19"/>
    <w:rsid w:val="005D25CF"/>
    <w:rsid w:val="005D529A"/>
    <w:rsid w:val="005F2A58"/>
    <w:rsid w:val="00644FD6"/>
    <w:rsid w:val="00647399"/>
    <w:rsid w:val="0064745C"/>
    <w:rsid w:val="00656778"/>
    <w:rsid w:val="00665831"/>
    <w:rsid w:val="00695CC2"/>
    <w:rsid w:val="006975AB"/>
    <w:rsid w:val="006A62FE"/>
    <w:rsid w:val="006C30B5"/>
    <w:rsid w:val="006C6BFB"/>
    <w:rsid w:val="006D532D"/>
    <w:rsid w:val="006D5469"/>
    <w:rsid w:val="006D62AC"/>
    <w:rsid w:val="006E7878"/>
    <w:rsid w:val="006F29AC"/>
    <w:rsid w:val="006F6BBE"/>
    <w:rsid w:val="00700E21"/>
    <w:rsid w:val="007072A6"/>
    <w:rsid w:val="00723C1C"/>
    <w:rsid w:val="007262EE"/>
    <w:rsid w:val="007332BF"/>
    <w:rsid w:val="007516E8"/>
    <w:rsid w:val="00751A33"/>
    <w:rsid w:val="00763415"/>
    <w:rsid w:val="00773026"/>
    <w:rsid w:val="00773DE2"/>
    <w:rsid w:val="0077610A"/>
    <w:rsid w:val="00776499"/>
    <w:rsid w:val="007835B6"/>
    <w:rsid w:val="00783BF2"/>
    <w:rsid w:val="00792B2A"/>
    <w:rsid w:val="0079702E"/>
    <w:rsid w:val="007A2C39"/>
    <w:rsid w:val="007B0C5C"/>
    <w:rsid w:val="007C354F"/>
    <w:rsid w:val="007C5100"/>
    <w:rsid w:val="007D768E"/>
    <w:rsid w:val="00803EFF"/>
    <w:rsid w:val="00823977"/>
    <w:rsid w:val="00825909"/>
    <w:rsid w:val="00830E35"/>
    <w:rsid w:val="008430F0"/>
    <w:rsid w:val="00847C32"/>
    <w:rsid w:val="00860B64"/>
    <w:rsid w:val="008822F5"/>
    <w:rsid w:val="008942EA"/>
    <w:rsid w:val="008A0C3D"/>
    <w:rsid w:val="008A1898"/>
    <w:rsid w:val="008A2DD2"/>
    <w:rsid w:val="008A6EF1"/>
    <w:rsid w:val="008C513F"/>
    <w:rsid w:val="008D127B"/>
    <w:rsid w:val="008E31F1"/>
    <w:rsid w:val="008F646B"/>
    <w:rsid w:val="0090102A"/>
    <w:rsid w:val="0092214B"/>
    <w:rsid w:val="0094492F"/>
    <w:rsid w:val="00952B2B"/>
    <w:rsid w:val="00966F49"/>
    <w:rsid w:val="009B0C68"/>
    <w:rsid w:val="009B449A"/>
    <w:rsid w:val="009E4287"/>
    <w:rsid w:val="00A17010"/>
    <w:rsid w:val="00A17C78"/>
    <w:rsid w:val="00A2142F"/>
    <w:rsid w:val="00A32A3F"/>
    <w:rsid w:val="00A47CF6"/>
    <w:rsid w:val="00A66C28"/>
    <w:rsid w:val="00A74B67"/>
    <w:rsid w:val="00A82B36"/>
    <w:rsid w:val="00A9561E"/>
    <w:rsid w:val="00AB4B83"/>
    <w:rsid w:val="00AC65A0"/>
    <w:rsid w:val="00AF7BFD"/>
    <w:rsid w:val="00B024CF"/>
    <w:rsid w:val="00B075BC"/>
    <w:rsid w:val="00B113DB"/>
    <w:rsid w:val="00B15EAA"/>
    <w:rsid w:val="00B17317"/>
    <w:rsid w:val="00B204F2"/>
    <w:rsid w:val="00B25B4E"/>
    <w:rsid w:val="00B26E87"/>
    <w:rsid w:val="00B34634"/>
    <w:rsid w:val="00B41B83"/>
    <w:rsid w:val="00B47478"/>
    <w:rsid w:val="00B5522F"/>
    <w:rsid w:val="00B608FB"/>
    <w:rsid w:val="00B60EA0"/>
    <w:rsid w:val="00B719FC"/>
    <w:rsid w:val="00B74C17"/>
    <w:rsid w:val="00B85190"/>
    <w:rsid w:val="00BB34AE"/>
    <w:rsid w:val="00BC0496"/>
    <w:rsid w:val="00BC7A71"/>
    <w:rsid w:val="00BE2F06"/>
    <w:rsid w:val="00BF4939"/>
    <w:rsid w:val="00C00D60"/>
    <w:rsid w:val="00C30DD6"/>
    <w:rsid w:val="00C3247A"/>
    <w:rsid w:val="00C43690"/>
    <w:rsid w:val="00C459DF"/>
    <w:rsid w:val="00C73BF4"/>
    <w:rsid w:val="00C83613"/>
    <w:rsid w:val="00C9276D"/>
    <w:rsid w:val="00C94A2B"/>
    <w:rsid w:val="00CA2907"/>
    <w:rsid w:val="00CB02FF"/>
    <w:rsid w:val="00CC3782"/>
    <w:rsid w:val="00CD2A59"/>
    <w:rsid w:val="00CE3DDD"/>
    <w:rsid w:val="00D05A8A"/>
    <w:rsid w:val="00D36E39"/>
    <w:rsid w:val="00D643DA"/>
    <w:rsid w:val="00DA7E4F"/>
    <w:rsid w:val="00DB6E45"/>
    <w:rsid w:val="00DC1641"/>
    <w:rsid w:val="00DD4560"/>
    <w:rsid w:val="00DD568A"/>
    <w:rsid w:val="00DD6DDF"/>
    <w:rsid w:val="00DE5A99"/>
    <w:rsid w:val="00DF18FC"/>
    <w:rsid w:val="00DF22BF"/>
    <w:rsid w:val="00E03F3D"/>
    <w:rsid w:val="00E154A6"/>
    <w:rsid w:val="00E17104"/>
    <w:rsid w:val="00E17210"/>
    <w:rsid w:val="00E17F49"/>
    <w:rsid w:val="00E21F3C"/>
    <w:rsid w:val="00E36BDE"/>
    <w:rsid w:val="00E46D1A"/>
    <w:rsid w:val="00E5688A"/>
    <w:rsid w:val="00E64697"/>
    <w:rsid w:val="00E67FBD"/>
    <w:rsid w:val="00E8036B"/>
    <w:rsid w:val="00E837B7"/>
    <w:rsid w:val="00E83B9E"/>
    <w:rsid w:val="00EA13EF"/>
    <w:rsid w:val="00EA56E7"/>
    <w:rsid w:val="00ED5992"/>
    <w:rsid w:val="00EE3A4D"/>
    <w:rsid w:val="00EF16B8"/>
    <w:rsid w:val="00F0035A"/>
    <w:rsid w:val="00F02F2D"/>
    <w:rsid w:val="00F06D9F"/>
    <w:rsid w:val="00F13677"/>
    <w:rsid w:val="00F1387A"/>
    <w:rsid w:val="00F416AE"/>
    <w:rsid w:val="00F50A74"/>
    <w:rsid w:val="00F51721"/>
    <w:rsid w:val="00F57D05"/>
    <w:rsid w:val="00F641CA"/>
    <w:rsid w:val="00F715DC"/>
    <w:rsid w:val="00F74936"/>
    <w:rsid w:val="00F8037C"/>
    <w:rsid w:val="00F83476"/>
    <w:rsid w:val="00F9199E"/>
    <w:rsid w:val="00FA7027"/>
    <w:rsid w:val="00FB1436"/>
    <w:rsid w:val="00FB236F"/>
    <w:rsid w:val="00FC4953"/>
    <w:rsid w:val="00FE42D6"/>
    <w:rsid w:val="00FE6829"/>
    <w:rsid w:val="00FF1BC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7DF938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4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1D1E-443E-4FA5-BFCE-B13B8BDE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2264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Michal Minařík</dc:creator>
  <cp:lastModifiedBy>Michal Minařík</cp:lastModifiedBy>
  <cp:revision>10</cp:revision>
  <cp:lastPrinted>2020-10-08T15:20:00Z</cp:lastPrinted>
  <dcterms:created xsi:type="dcterms:W3CDTF">2020-05-04T16:55:00Z</dcterms:created>
  <dcterms:modified xsi:type="dcterms:W3CDTF">2020-10-08T15:20:00Z</dcterms:modified>
</cp:coreProperties>
</file>